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78419" w14:textId="37EA2F6B" w:rsidR="00C03886" w:rsidRDefault="00D83E51" w:rsidP="001A63AB">
      <w:r>
        <w:rPr>
          <w:rFonts w:cs="Arial"/>
          <w:noProof/>
          <w:sz w:val="20"/>
          <w:szCs w:val="20"/>
          <w:lang w:eastAsia="en-GB"/>
        </w:rPr>
        <w:drawing>
          <wp:anchor distT="0" distB="0" distL="114300" distR="114300" simplePos="0" relativeHeight="251656704" behindDoc="0" locked="0" layoutInCell="1" allowOverlap="1" wp14:anchorId="69FC2E76" wp14:editId="0894F191">
            <wp:simplePos x="0" y="0"/>
            <wp:positionH relativeFrom="column">
              <wp:posOffset>1870710</wp:posOffset>
            </wp:positionH>
            <wp:positionV relativeFrom="paragraph">
              <wp:posOffset>114300</wp:posOffset>
            </wp:positionV>
            <wp:extent cx="2295525" cy="59354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73685"/>
                    <a:stretch>
                      <a:fillRect/>
                    </a:stretch>
                  </pic:blipFill>
                  <pic:spPr bwMode="auto">
                    <a:xfrm>
                      <a:off x="0" y="0"/>
                      <a:ext cx="2295525" cy="593547"/>
                    </a:xfrm>
                    <a:prstGeom prst="rect">
                      <a:avLst/>
                    </a:prstGeom>
                    <a:noFill/>
                    <a:ln>
                      <a:noFill/>
                    </a:ln>
                  </pic:spPr>
                </pic:pic>
              </a:graphicData>
            </a:graphic>
          </wp:anchor>
        </w:drawing>
      </w:r>
      <w:r w:rsidR="001A63AB">
        <w:br w:type="textWrapping" w:clear="all"/>
      </w:r>
    </w:p>
    <w:p w14:paraId="6AAC578F" w14:textId="77777777" w:rsidR="001A63AB" w:rsidRDefault="001A63AB" w:rsidP="001A63AB">
      <w:pPr>
        <w:jc w:val="center"/>
        <w:rPr>
          <w:rFonts w:ascii="Arial" w:hAnsi="Arial" w:cs="Arial"/>
          <w:b/>
          <w:bCs/>
          <w:sz w:val="36"/>
          <w:szCs w:val="36"/>
        </w:rPr>
      </w:pPr>
    </w:p>
    <w:p w14:paraId="53AB8582" w14:textId="527842ED" w:rsidR="001A63AB" w:rsidRDefault="001A63AB" w:rsidP="001A63AB">
      <w:pPr>
        <w:jc w:val="center"/>
        <w:rPr>
          <w:rFonts w:ascii="Arial" w:hAnsi="Arial" w:cs="Arial"/>
        </w:rPr>
      </w:pPr>
      <w:r w:rsidRPr="001A63AB">
        <w:rPr>
          <w:rFonts w:ascii="Arial" w:hAnsi="Arial" w:cs="Arial"/>
          <w:b/>
          <w:bCs/>
          <w:sz w:val="36"/>
          <w:szCs w:val="36"/>
        </w:rPr>
        <w:t>Policy on Private Work Involving Vicarious Liability</w:t>
      </w:r>
    </w:p>
    <w:p w14:paraId="20E7C4FC" w14:textId="77777777" w:rsidR="008E5822" w:rsidRDefault="008E5822" w:rsidP="001A63AB">
      <w:pPr>
        <w:rPr>
          <w:rFonts w:ascii="Arial" w:hAnsi="Arial" w:cs="Arial"/>
          <w:b/>
          <w:bCs/>
          <w:u w:val="single"/>
        </w:rPr>
      </w:pPr>
    </w:p>
    <w:p w14:paraId="699DEDE5" w14:textId="684457C3" w:rsidR="001A63AB" w:rsidRPr="001A63AB" w:rsidRDefault="001A63AB" w:rsidP="001A63AB">
      <w:pPr>
        <w:rPr>
          <w:rFonts w:ascii="Arial" w:hAnsi="Arial" w:cs="Arial"/>
          <w:b/>
          <w:bCs/>
          <w:u w:val="single"/>
        </w:rPr>
      </w:pPr>
      <w:r w:rsidRPr="001A63AB">
        <w:rPr>
          <w:rFonts w:ascii="Arial" w:hAnsi="Arial" w:cs="Arial"/>
          <w:b/>
          <w:bCs/>
          <w:u w:val="single"/>
        </w:rPr>
        <w:t>Purpose</w:t>
      </w:r>
    </w:p>
    <w:p w14:paraId="6ABC4A19" w14:textId="77777777" w:rsidR="001A63AB" w:rsidRPr="001A63AB" w:rsidRDefault="001A63AB" w:rsidP="001A63AB">
      <w:pPr>
        <w:rPr>
          <w:rFonts w:ascii="Arial" w:hAnsi="Arial" w:cs="Arial"/>
        </w:rPr>
      </w:pPr>
      <w:r w:rsidRPr="001A63AB">
        <w:rPr>
          <w:rFonts w:ascii="Arial" w:hAnsi="Arial" w:cs="Arial"/>
        </w:rPr>
        <w:t>This policy outlines the types of private work that our GP surgery will not undertake, particularly where there is a risk of vicarious liability. The primary objective is to ensure the safety and well-being of both our patients and the healthcare professionals, while maintaining the highest standards of clinical care within the scope of our NHS services.</w:t>
      </w:r>
    </w:p>
    <w:p w14:paraId="54738E1A" w14:textId="624F2379" w:rsidR="001A63AB" w:rsidRPr="001A63AB" w:rsidRDefault="001A63AB" w:rsidP="001A63AB">
      <w:pPr>
        <w:rPr>
          <w:rFonts w:ascii="Arial" w:hAnsi="Arial" w:cs="Arial"/>
          <w:b/>
          <w:bCs/>
          <w:u w:val="single"/>
        </w:rPr>
      </w:pPr>
      <w:r w:rsidRPr="001A63AB">
        <w:rPr>
          <w:rFonts w:ascii="Arial" w:hAnsi="Arial" w:cs="Arial"/>
          <w:b/>
          <w:bCs/>
          <w:u w:val="single"/>
        </w:rPr>
        <w:t>Scope</w:t>
      </w:r>
    </w:p>
    <w:p w14:paraId="701F604C" w14:textId="77777777" w:rsidR="001A63AB" w:rsidRPr="001A63AB" w:rsidRDefault="001A63AB" w:rsidP="001A63AB">
      <w:pPr>
        <w:rPr>
          <w:rFonts w:ascii="Arial" w:hAnsi="Arial" w:cs="Arial"/>
        </w:rPr>
      </w:pPr>
      <w:r w:rsidRPr="001A63AB">
        <w:rPr>
          <w:rFonts w:ascii="Arial" w:hAnsi="Arial" w:cs="Arial"/>
        </w:rPr>
        <w:t>This policy applies to all patients registered at our GP surgery and covers private work requests that may expose the practice or its clinicians to vicarious liability.</w:t>
      </w:r>
    </w:p>
    <w:p w14:paraId="7EBE302D" w14:textId="1110D4BE" w:rsidR="001A63AB" w:rsidRPr="001A63AB" w:rsidRDefault="001A63AB" w:rsidP="001A63AB">
      <w:pPr>
        <w:rPr>
          <w:rFonts w:ascii="Arial" w:hAnsi="Arial" w:cs="Arial"/>
          <w:b/>
          <w:bCs/>
          <w:u w:val="single"/>
        </w:rPr>
      </w:pPr>
      <w:r w:rsidRPr="001A63AB">
        <w:rPr>
          <w:rFonts w:ascii="Arial" w:hAnsi="Arial" w:cs="Arial"/>
          <w:b/>
          <w:bCs/>
          <w:u w:val="single"/>
        </w:rPr>
        <w:t>Policy Statement</w:t>
      </w:r>
    </w:p>
    <w:p w14:paraId="614B3631" w14:textId="77777777" w:rsidR="001A63AB" w:rsidRPr="001A63AB" w:rsidRDefault="001A63AB" w:rsidP="001A63AB">
      <w:pPr>
        <w:rPr>
          <w:rFonts w:ascii="Arial" w:hAnsi="Arial" w:cs="Arial"/>
        </w:rPr>
      </w:pPr>
      <w:r w:rsidRPr="001A63AB">
        <w:rPr>
          <w:rFonts w:ascii="Arial" w:hAnsi="Arial" w:cs="Arial"/>
        </w:rPr>
        <w:t>Our GP surgery is committed to providing high-quality care within the scope of NHS services. However, we do not undertake private work that may involve specialist assessments or activities which present a significant risk of vicarious liability. These include, but are not limited to, the following:</w:t>
      </w:r>
    </w:p>
    <w:p w14:paraId="1D6ADBC8" w14:textId="77777777" w:rsidR="001A63AB" w:rsidRPr="001A63AB" w:rsidRDefault="001A63AB" w:rsidP="001A63AB">
      <w:pPr>
        <w:pStyle w:val="ListParagraph"/>
        <w:numPr>
          <w:ilvl w:val="0"/>
          <w:numId w:val="1"/>
        </w:numPr>
        <w:rPr>
          <w:rFonts w:ascii="Arial" w:hAnsi="Arial" w:cs="Arial"/>
        </w:rPr>
      </w:pPr>
      <w:r w:rsidRPr="001A63AB">
        <w:rPr>
          <w:rFonts w:ascii="Arial" w:hAnsi="Arial" w:cs="Arial"/>
        </w:rPr>
        <w:t>Fitness to fly assessments</w:t>
      </w:r>
    </w:p>
    <w:p w14:paraId="277E434D" w14:textId="77777777" w:rsidR="001A63AB" w:rsidRPr="001A63AB" w:rsidRDefault="001A63AB" w:rsidP="001A63AB">
      <w:pPr>
        <w:pStyle w:val="ListParagraph"/>
        <w:numPr>
          <w:ilvl w:val="0"/>
          <w:numId w:val="1"/>
        </w:numPr>
        <w:rPr>
          <w:rFonts w:ascii="Arial" w:hAnsi="Arial" w:cs="Arial"/>
        </w:rPr>
      </w:pPr>
      <w:r w:rsidRPr="001A63AB">
        <w:rPr>
          <w:rFonts w:ascii="Arial" w:hAnsi="Arial" w:cs="Arial"/>
        </w:rPr>
        <w:t>Clearance for high-risk sports (e.g., mountaineering, skydiving, paragliding)</w:t>
      </w:r>
    </w:p>
    <w:p w14:paraId="31E8AAEE" w14:textId="77777777" w:rsidR="001A63AB" w:rsidRPr="001A63AB" w:rsidRDefault="001A63AB" w:rsidP="001A63AB">
      <w:pPr>
        <w:pStyle w:val="ListParagraph"/>
        <w:numPr>
          <w:ilvl w:val="0"/>
          <w:numId w:val="1"/>
        </w:numPr>
        <w:rPr>
          <w:rFonts w:ascii="Arial" w:hAnsi="Arial" w:cs="Arial"/>
        </w:rPr>
      </w:pPr>
      <w:r w:rsidRPr="001A63AB">
        <w:rPr>
          <w:rFonts w:ascii="Arial" w:hAnsi="Arial" w:cs="Arial"/>
        </w:rPr>
        <w:t>Certification for participation in sporting events (e.g., marathons, triathlons)</w:t>
      </w:r>
    </w:p>
    <w:p w14:paraId="45F22AA7" w14:textId="77777777" w:rsidR="001A63AB" w:rsidRPr="001A63AB" w:rsidRDefault="001A63AB" w:rsidP="001A63AB">
      <w:pPr>
        <w:pStyle w:val="ListParagraph"/>
        <w:numPr>
          <w:ilvl w:val="0"/>
          <w:numId w:val="1"/>
        </w:numPr>
        <w:rPr>
          <w:rFonts w:ascii="Arial" w:hAnsi="Arial" w:cs="Arial"/>
        </w:rPr>
      </w:pPr>
      <w:r w:rsidRPr="001A63AB">
        <w:rPr>
          <w:rFonts w:ascii="Arial" w:hAnsi="Arial" w:cs="Arial"/>
        </w:rPr>
        <w:t>Driving medicals (beyond DVLA Statements of fact) or fitness to dive</w:t>
      </w:r>
    </w:p>
    <w:p w14:paraId="765B195D" w14:textId="77777777" w:rsidR="001A63AB" w:rsidRPr="001A63AB" w:rsidRDefault="001A63AB" w:rsidP="001A63AB">
      <w:pPr>
        <w:pStyle w:val="ListParagraph"/>
        <w:numPr>
          <w:ilvl w:val="0"/>
          <w:numId w:val="1"/>
        </w:numPr>
        <w:rPr>
          <w:rFonts w:ascii="Arial" w:hAnsi="Arial" w:cs="Arial"/>
        </w:rPr>
      </w:pPr>
      <w:r w:rsidRPr="001A63AB">
        <w:rPr>
          <w:rFonts w:ascii="Arial" w:hAnsi="Arial" w:cs="Arial"/>
        </w:rPr>
        <w:t>Medical certifications for extreme sports or adventure travel</w:t>
      </w:r>
    </w:p>
    <w:p w14:paraId="1FE8F6AE" w14:textId="4DBE3332" w:rsidR="001A63AB" w:rsidRPr="001A63AB" w:rsidRDefault="001A63AB" w:rsidP="001A63AB">
      <w:pPr>
        <w:rPr>
          <w:rFonts w:ascii="Arial" w:hAnsi="Arial" w:cs="Arial"/>
          <w:b/>
          <w:bCs/>
          <w:u w:val="single"/>
        </w:rPr>
      </w:pPr>
      <w:r w:rsidRPr="001A63AB">
        <w:rPr>
          <w:rFonts w:ascii="Arial" w:hAnsi="Arial" w:cs="Arial"/>
          <w:b/>
          <w:bCs/>
          <w:u w:val="single"/>
        </w:rPr>
        <w:t>Rationale</w:t>
      </w:r>
    </w:p>
    <w:p w14:paraId="474C2848" w14:textId="77777777" w:rsidR="001A63AB" w:rsidRPr="001A63AB" w:rsidRDefault="001A63AB" w:rsidP="001A63AB">
      <w:pPr>
        <w:rPr>
          <w:rFonts w:ascii="Arial" w:hAnsi="Arial" w:cs="Arial"/>
        </w:rPr>
      </w:pPr>
      <w:r w:rsidRPr="001A63AB">
        <w:rPr>
          <w:rFonts w:ascii="Arial" w:hAnsi="Arial" w:cs="Arial"/>
        </w:rPr>
        <w:t>These types of private work often require specialist knowledge and expertise that fall outside the general practice remit. Moreover, issuing certifications for such activities may expose the GP surgery to potential legal risks, including vicarious liability, if an adverse event occurs.</w:t>
      </w:r>
    </w:p>
    <w:p w14:paraId="4FB23F67" w14:textId="77777777" w:rsidR="001A63AB" w:rsidRPr="001A63AB" w:rsidRDefault="001A63AB" w:rsidP="001A63AB">
      <w:pPr>
        <w:rPr>
          <w:rFonts w:ascii="Arial" w:hAnsi="Arial" w:cs="Arial"/>
        </w:rPr>
      </w:pPr>
      <w:r w:rsidRPr="001A63AB">
        <w:rPr>
          <w:rFonts w:ascii="Arial" w:hAnsi="Arial" w:cs="Arial"/>
        </w:rPr>
        <w:t>Our GPs are trained to provide general medical services and support within the NHS framework. Specialist assessments should be undertaken by professionals with specific expertise in those fields, and we encourage patients to seek advice from appropriately qualified clinicians or agencies for such requests.</w:t>
      </w:r>
    </w:p>
    <w:p w14:paraId="043725D1" w14:textId="14BEEB85" w:rsidR="001A63AB" w:rsidRPr="001A63AB" w:rsidRDefault="001A63AB" w:rsidP="001A63AB">
      <w:pPr>
        <w:rPr>
          <w:rFonts w:ascii="Arial" w:hAnsi="Arial" w:cs="Arial"/>
          <w:b/>
          <w:bCs/>
          <w:u w:val="single"/>
        </w:rPr>
      </w:pPr>
      <w:r w:rsidRPr="001A63AB">
        <w:rPr>
          <w:rFonts w:ascii="Arial" w:hAnsi="Arial" w:cs="Arial"/>
          <w:b/>
          <w:bCs/>
          <w:u w:val="single"/>
        </w:rPr>
        <w:t>What We Do Offer</w:t>
      </w:r>
    </w:p>
    <w:p w14:paraId="52B27CC5" w14:textId="77777777" w:rsidR="001A63AB" w:rsidRPr="001A63AB" w:rsidRDefault="001A63AB" w:rsidP="001A63AB">
      <w:pPr>
        <w:rPr>
          <w:rFonts w:ascii="Arial" w:hAnsi="Arial" w:cs="Arial"/>
        </w:rPr>
      </w:pPr>
      <w:r w:rsidRPr="001A63AB">
        <w:rPr>
          <w:rFonts w:ascii="Arial" w:hAnsi="Arial" w:cs="Arial"/>
        </w:rPr>
        <w:t>Our GP surgery continues to offer a wide range of services under the NHS, including general health advice, chronic disease management, routine medical checks, and referrals to specialist services where appropriate.</w:t>
      </w:r>
    </w:p>
    <w:p w14:paraId="56DCEF36" w14:textId="77777777" w:rsidR="008E5822" w:rsidRDefault="008E5822" w:rsidP="001A63AB">
      <w:pPr>
        <w:rPr>
          <w:rFonts w:ascii="Arial" w:hAnsi="Arial" w:cs="Arial"/>
          <w:b/>
          <w:bCs/>
          <w:u w:val="single"/>
        </w:rPr>
      </w:pPr>
    </w:p>
    <w:p w14:paraId="24697419" w14:textId="74D1C8A6" w:rsidR="001A63AB" w:rsidRPr="001A63AB" w:rsidRDefault="001A63AB" w:rsidP="001A63AB">
      <w:pPr>
        <w:rPr>
          <w:rFonts w:ascii="Arial" w:hAnsi="Arial" w:cs="Arial"/>
          <w:b/>
          <w:bCs/>
          <w:u w:val="single"/>
        </w:rPr>
      </w:pPr>
      <w:r w:rsidRPr="001A63AB">
        <w:rPr>
          <w:rFonts w:ascii="Arial" w:hAnsi="Arial" w:cs="Arial"/>
          <w:b/>
          <w:bCs/>
          <w:u w:val="single"/>
        </w:rPr>
        <w:lastRenderedPageBreak/>
        <w:t>Alternative Options</w:t>
      </w:r>
    </w:p>
    <w:p w14:paraId="7C97B773" w14:textId="77777777" w:rsidR="001A63AB" w:rsidRPr="001A63AB" w:rsidRDefault="001A63AB" w:rsidP="001A63AB">
      <w:pPr>
        <w:rPr>
          <w:rFonts w:ascii="Arial" w:hAnsi="Arial" w:cs="Arial"/>
        </w:rPr>
      </w:pPr>
      <w:r w:rsidRPr="001A63AB">
        <w:rPr>
          <w:rFonts w:ascii="Arial" w:hAnsi="Arial" w:cs="Arial"/>
        </w:rPr>
        <w:t>For private work not covered under this policy, patients are advised to seek independent medical assessments from specialists in the relevant field. These might include:</w:t>
      </w:r>
    </w:p>
    <w:p w14:paraId="6365A4D8" w14:textId="77777777" w:rsidR="001A63AB" w:rsidRPr="001A63AB" w:rsidRDefault="001A63AB" w:rsidP="001A63AB">
      <w:pPr>
        <w:pStyle w:val="ListParagraph"/>
        <w:numPr>
          <w:ilvl w:val="0"/>
          <w:numId w:val="2"/>
        </w:numPr>
        <w:rPr>
          <w:rFonts w:ascii="Arial" w:hAnsi="Arial" w:cs="Arial"/>
        </w:rPr>
      </w:pPr>
      <w:r w:rsidRPr="001A63AB">
        <w:rPr>
          <w:rFonts w:ascii="Arial" w:hAnsi="Arial" w:cs="Arial"/>
        </w:rPr>
        <w:t>Occupational health specialists</w:t>
      </w:r>
    </w:p>
    <w:p w14:paraId="4D71EC3A" w14:textId="77777777" w:rsidR="001A63AB" w:rsidRPr="001A63AB" w:rsidRDefault="001A63AB" w:rsidP="001A63AB">
      <w:pPr>
        <w:pStyle w:val="ListParagraph"/>
        <w:numPr>
          <w:ilvl w:val="0"/>
          <w:numId w:val="2"/>
        </w:numPr>
        <w:rPr>
          <w:rFonts w:ascii="Arial" w:hAnsi="Arial" w:cs="Arial"/>
        </w:rPr>
      </w:pPr>
      <w:r w:rsidRPr="001A63AB">
        <w:rPr>
          <w:rFonts w:ascii="Arial" w:hAnsi="Arial" w:cs="Arial"/>
        </w:rPr>
        <w:t>Sports physicians</w:t>
      </w:r>
    </w:p>
    <w:p w14:paraId="26804D48" w14:textId="77777777" w:rsidR="001A63AB" w:rsidRPr="001A63AB" w:rsidRDefault="001A63AB" w:rsidP="001A63AB">
      <w:pPr>
        <w:pStyle w:val="ListParagraph"/>
        <w:numPr>
          <w:ilvl w:val="0"/>
          <w:numId w:val="2"/>
        </w:numPr>
        <w:rPr>
          <w:rFonts w:ascii="Arial" w:hAnsi="Arial" w:cs="Arial"/>
        </w:rPr>
      </w:pPr>
      <w:r w:rsidRPr="001A63AB">
        <w:rPr>
          <w:rFonts w:ascii="Arial" w:hAnsi="Arial" w:cs="Arial"/>
        </w:rPr>
        <w:t>Aviation or diving medical examiners</w:t>
      </w:r>
    </w:p>
    <w:p w14:paraId="01D5C54B" w14:textId="709531C3" w:rsidR="001A63AB" w:rsidRPr="008E5822" w:rsidRDefault="001A63AB" w:rsidP="001A63AB">
      <w:pPr>
        <w:pStyle w:val="ListParagraph"/>
        <w:numPr>
          <w:ilvl w:val="0"/>
          <w:numId w:val="2"/>
        </w:numPr>
        <w:rPr>
          <w:rFonts w:ascii="Arial" w:hAnsi="Arial" w:cs="Arial"/>
        </w:rPr>
      </w:pPr>
      <w:r w:rsidRPr="001A63AB">
        <w:rPr>
          <w:rFonts w:ascii="Arial" w:hAnsi="Arial" w:cs="Arial"/>
        </w:rPr>
        <w:t>Travel medicine clinics</w:t>
      </w:r>
    </w:p>
    <w:p w14:paraId="571E6785" w14:textId="66025077" w:rsidR="001A63AB" w:rsidRPr="001A63AB" w:rsidRDefault="001A63AB" w:rsidP="001A63AB">
      <w:pPr>
        <w:rPr>
          <w:rFonts w:ascii="Arial" w:hAnsi="Arial" w:cs="Arial"/>
          <w:b/>
          <w:bCs/>
          <w:u w:val="single"/>
        </w:rPr>
      </w:pPr>
      <w:r w:rsidRPr="001A63AB">
        <w:rPr>
          <w:rFonts w:ascii="Arial" w:hAnsi="Arial" w:cs="Arial"/>
          <w:b/>
          <w:bCs/>
          <w:u w:val="single"/>
        </w:rPr>
        <w:t>Conclusion</w:t>
      </w:r>
    </w:p>
    <w:p w14:paraId="44764763" w14:textId="204AE8BE" w:rsidR="001A63AB" w:rsidRPr="001A63AB" w:rsidRDefault="001A63AB" w:rsidP="001A63AB">
      <w:pPr>
        <w:rPr>
          <w:rFonts w:ascii="Arial" w:hAnsi="Arial" w:cs="Arial"/>
        </w:rPr>
      </w:pPr>
      <w:r w:rsidRPr="001A63AB">
        <w:rPr>
          <w:rFonts w:ascii="Arial" w:hAnsi="Arial" w:cs="Arial"/>
        </w:rPr>
        <w:t xml:space="preserve">This policy is in place to safeguard both our patients and the surgery from the legal risks associated with vicarious liability. </w:t>
      </w:r>
    </w:p>
    <w:p w14:paraId="089D744A" w14:textId="77777777" w:rsidR="001A63AB" w:rsidRPr="001A63AB" w:rsidRDefault="001A63AB" w:rsidP="001A63AB">
      <w:pPr>
        <w:rPr>
          <w:rFonts w:ascii="Arial" w:hAnsi="Arial" w:cs="Arial"/>
        </w:rPr>
      </w:pPr>
      <w:r w:rsidRPr="001A63AB">
        <w:rPr>
          <w:rFonts w:ascii="Arial" w:hAnsi="Arial" w:cs="Arial"/>
        </w:rPr>
        <w:t>If you have any further questions or require clarification regarding this policy, please contact our admin team.</w:t>
      </w:r>
    </w:p>
    <w:p w14:paraId="6D094C96" w14:textId="77777777" w:rsidR="00C03886" w:rsidRPr="001A63AB" w:rsidRDefault="00C03886">
      <w:pPr>
        <w:rPr>
          <w:rFonts w:ascii="Arial" w:hAnsi="Arial" w:cs="Arial"/>
        </w:rPr>
      </w:pPr>
    </w:p>
    <w:p w14:paraId="18CBF547" w14:textId="77777777" w:rsidR="00C03886" w:rsidRDefault="00C03886"/>
    <w:p w14:paraId="5DDFB3A8" w14:textId="77777777" w:rsidR="00C03886" w:rsidRDefault="00C03886" w:rsidP="00C03886">
      <w:pPr>
        <w:jc w:val="right"/>
      </w:pPr>
    </w:p>
    <w:sectPr w:rsidR="00C03886" w:rsidSect="00D83E51">
      <w:headerReference w:type="even" r:id="rId9"/>
      <w:headerReference w:type="default" r:id="rId10"/>
      <w:footerReference w:type="even" r:id="rId11"/>
      <w:footerReference w:type="default" r:id="rId12"/>
      <w:headerReference w:type="first" r:id="rId13"/>
      <w:footerReference w:type="first" r:id="rId14"/>
      <w:pgSz w:w="11906" w:h="16838"/>
      <w:pgMar w:top="0" w:right="849" w:bottom="0"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340F5" w14:textId="77777777" w:rsidR="00A306E6" w:rsidRDefault="00A306E6" w:rsidP="00C03886">
      <w:pPr>
        <w:spacing w:after="0" w:line="240" w:lineRule="auto"/>
      </w:pPr>
      <w:r>
        <w:separator/>
      </w:r>
    </w:p>
  </w:endnote>
  <w:endnote w:type="continuationSeparator" w:id="0">
    <w:p w14:paraId="7C6278A3" w14:textId="77777777" w:rsidR="00A306E6" w:rsidRDefault="00A306E6" w:rsidP="00C0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5B93D" w14:textId="77777777" w:rsidR="00711155" w:rsidRDefault="00711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BDAF0" w14:textId="6CD5EA1E" w:rsidR="001F7B63" w:rsidRPr="001F7B63" w:rsidRDefault="00D83E51">
    <w:pPr>
      <w:pStyle w:val="Footer"/>
      <w:rPr>
        <w:rFonts w:ascii="Arial" w:hAnsi="Arial" w:cs="Arial"/>
        <w:sz w:val="18"/>
        <w:szCs w:val="18"/>
      </w:rPr>
    </w:pPr>
    <w:r>
      <w:rPr>
        <w:rFonts w:ascii="Arial" w:hAnsi="Arial" w:cs="Arial"/>
        <w:sz w:val="18"/>
        <w:szCs w:val="18"/>
      </w:rPr>
      <w:t>File Nam</w:t>
    </w:r>
    <w:r w:rsidR="00C17DC9">
      <w:rPr>
        <w:rFonts w:ascii="Arial" w:hAnsi="Arial" w:cs="Arial"/>
        <w:sz w:val="18"/>
        <w:szCs w:val="18"/>
      </w:rPr>
      <w:t xml:space="preserve">e: </w:t>
    </w:r>
    <w:r w:rsidR="00C17DC9">
      <w:rPr>
        <w:rFonts w:ascii="Arial" w:hAnsi="Arial" w:cs="Arial"/>
        <w:sz w:val="18"/>
        <w:szCs w:val="18"/>
      </w:rPr>
      <w:fldChar w:fldCharType="begin"/>
    </w:r>
    <w:r w:rsidR="00C17DC9">
      <w:rPr>
        <w:rFonts w:ascii="Arial" w:hAnsi="Arial" w:cs="Arial"/>
        <w:sz w:val="18"/>
        <w:szCs w:val="18"/>
      </w:rPr>
      <w:instrText xml:space="preserve"> FILENAME \p \* MERGEFORMAT </w:instrText>
    </w:r>
    <w:r w:rsidR="00C17DC9">
      <w:rPr>
        <w:rFonts w:ascii="Arial" w:hAnsi="Arial" w:cs="Arial"/>
        <w:sz w:val="18"/>
        <w:szCs w:val="18"/>
      </w:rPr>
      <w:fldChar w:fldCharType="separate"/>
    </w:r>
    <w:r w:rsidR="00C17DC9">
      <w:rPr>
        <w:rFonts w:ascii="Arial" w:hAnsi="Arial" w:cs="Arial"/>
        <w:noProof/>
        <w:sz w:val="18"/>
        <w:szCs w:val="18"/>
      </w:rPr>
      <w:t>Vicarious Liability Policy.docx</w:t>
    </w:r>
    <w:r w:rsidR="00C17DC9">
      <w:rPr>
        <w:rFonts w:ascii="Arial" w:hAnsi="Arial" w:cs="Arial"/>
        <w:sz w:val="18"/>
        <w:szCs w:val="18"/>
      </w:rPr>
      <w:fldChar w:fldCharType="end"/>
    </w:r>
    <w:r w:rsidR="001F7B63" w:rsidRPr="001F7B63">
      <w:rPr>
        <w:rFonts w:ascii="Arial" w:hAnsi="Arial" w:cs="Arial"/>
        <w:sz w:val="18"/>
        <w:szCs w:val="18"/>
      </w:rPr>
      <w:t xml:space="preserve">   </w:t>
    </w:r>
  </w:p>
  <w:p w14:paraId="47FB0460" w14:textId="34733BCB" w:rsidR="00D83E51" w:rsidRDefault="00D54BA3">
    <w:pPr>
      <w:pStyle w:val="Footer"/>
      <w:rPr>
        <w:rFonts w:ascii="Arial" w:hAnsi="Arial" w:cs="Arial"/>
        <w:sz w:val="18"/>
        <w:szCs w:val="18"/>
      </w:rPr>
    </w:pPr>
    <w:r>
      <w:rPr>
        <w:rFonts w:ascii="Arial" w:hAnsi="Arial" w:cs="Arial"/>
        <w:sz w:val="18"/>
        <w:szCs w:val="18"/>
      </w:rPr>
      <w:t>Created by:</w:t>
    </w:r>
    <w:r w:rsidR="008E5822">
      <w:rPr>
        <w:rFonts w:ascii="Arial" w:hAnsi="Arial" w:cs="Arial"/>
        <w:sz w:val="18"/>
        <w:szCs w:val="18"/>
      </w:rPr>
      <w:t xml:space="preserve"> Dr</w:t>
    </w:r>
    <w:r>
      <w:rPr>
        <w:rFonts w:ascii="Arial" w:hAnsi="Arial" w:cs="Arial"/>
        <w:sz w:val="18"/>
        <w:szCs w:val="18"/>
      </w:rPr>
      <w:t xml:space="preserve"> </w:t>
    </w:r>
    <w:r w:rsidR="001A63AB">
      <w:rPr>
        <w:rFonts w:ascii="Arial" w:hAnsi="Arial" w:cs="Arial"/>
        <w:sz w:val="18"/>
        <w:szCs w:val="18"/>
      </w:rPr>
      <w:t xml:space="preserve">Robert Tippin </w:t>
    </w:r>
    <w:r>
      <w:rPr>
        <w:rFonts w:ascii="Arial" w:hAnsi="Arial" w:cs="Arial"/>
        <w:sz w:val="18"/>
        <w:szCs w:val="18"/>
      </w:rPr>
      <w:t xml:space="preserve">                    on:</w:t>
    </w:r>
    <w:r w:rsidR="006E38A1" w:rsidRPr="001F7B63">
      <w:rPr>
        <w:rFonts w:ascii="Arial" w:hAnsi="Arial" w:cs="Arial"/>
        <w:sz w:val="18"/>
        <w:szCs w:val="18"/>
      </w:rPr>
      <w:t xml:space="preserve"> </w:t>
    </w:r>
    <w:r w:rsidR="001A63AB">
      <w:rPr>
        <w:rFonts w:ascii="Arial" w:hAnsi="Arial" w:cs="Arial"/>
        <w:sz w:val="18"/>
        <w:szCs w:val="18"/>
      </w:rPr>
      <w:t>19/09/2024</w:t>
    </w:r>
  </w:p>
  <w:p w14:paraId="03E3B2E4" w14:textId="77777777" w:rsidR="00D54BA3" w:rsidRDefault="00D54BA3">
    <w:pPr>
      <w:pStyle w:val="Footer"/>
      <w:rPr>
        <w:rFonts w:ascii="Arial" w:hAnsi="Arial" w:cs="Arial"/>
        <w:sz w:val="18"/>
        <w:szCs w:val="18"/>
      </w:rPr>
    </w:pPr>
    <w:r>
      <w:rPr>
        <w:rFonts w:ascii="Arial" w:hAnsi="Arial" w:cs="Arial"/>
        <w:sz w:val="18"/>
        <w:szCs w:val="18"/>
      </w:rPr>
      <w:t>Reviewed by:                                         on:</w:t>
    </w:r>
  </w:p>
  <w:p w14:paraId="51528A67" w14:textId="77777777" w:rsidR="006E38A1" w:rsidRPr="00D83E51" w:rsidRDefault="00D83E51">
    <w:pPr>
      <w:pStyle w:val="Footer"/>
      <w:rPr>
        <w:rFonts w:ascii="Arial" w:hAnsi="Arial" w:cs="Arial"/>
        <w:sz w:val="18"/>
        <w:szCs w:val="18"/>
      </w:rPr>
    </w:pPr>
    <w:r w:rsidRPr="00D83E51">
      <w:rPr>
        <w:rFonts w:ascii="Arial" w:hAnsi="Arial" w:cs="Arial"/>
        <w:sz w:val="18"/>
        <w:szCs w:val="18"/>
      </w:rPr>
      <w:t xml:space="preserve">Review </w:t>
    </w:r>
    <w:r>
      <w:rPr>
        <w:rFonts w:ascii="Arial" w:hAnsi="Arial" w:cs="Arial"/>
        <w:sz w:val="18"/>
        <w:szCs w:val="18"/>
      </w:rPr>
      <w:t>d</w:t>
    </w:r>
    <w:r w:rsidRPr="00D83E51">
      <w:rPr>
        <w:rFonts w:ascii="Arial" w:hAnsi="Arial" w:cs="Arial"/>
        <w:sz w:val="18"/>
        <w:szCs w:val="18"/>
      </w:rPr>
      <w:t xml:space="preserve">ue </w:t>
    </w:r>
    <w:r>
      <w:rPr>
        <w:rFonts w:ascii="Arial" w:hAnsi="Arial" w:cs="Arial"/>
        <w:sz w:val="18"/>
        <w:szCs w:val="18"/>
      </w:rPr>
      <w:t>d</w:t>
    </w:r>
    <w:r w:rsidRPr="00D83E51">
      <w:rPr>
        <w:rFonts w:ascii="Arial" w:hAnsi="Arial" w:cs="Arial"/>
        <w:sz w:val="18"/>
        <w:szCs w:val="18"/>
      </w:rPr>
      <w:t>ate:</w:t>
    </w:r>
  </w:p>
  <w:p w14:paraId="66946662" w14:textId="77777777" w:rsidR="006E38A1" w:rsidRDefault="006E3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19488" w14:textId="77777777" w:rsidR="00711155" w:rsidRDefault="00711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D5571" w14:textId="77777777" w:rsidR="00A306E6" w:rsidRDefault="00A306E6" w:rsidP="00C03886">
      <w:pPr>
        <w:spacing w:after="0" w:line="240" w:lineRule="auto"/>
      </w:pPr>
      <w:r>
        <w:separator/>
      </w:r>
    </w:p>
  </w:footnote>
  <w:footnote w:type="continuationSeparator" w:id="0">
    <w:p w14:paraId="005F872B" w14:textId="77777777" w:rsidR="00A306E6" w:rsidRDefault="00A306E6" w:rsidP="00C0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BB0A7" w14:textId="77777777" w:rsidR="00711155" w:rsidRDefault="00711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A6E2D" w14:textId="77777777" w:rsidR="00711155" w:rsidRDefault="00711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E3256" w14:textId="77777777" w:rsidR="00711155" w:rsidRDefault="00711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A6D7B"/>
    <w:multiLevelType w:val="hybridMultilevel"/>
    <w:tmpl w:val="9506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63256"/>
    <w:multiLevelType w:val="hybridMultilevel"/>
    <w:tmpl w:val="A960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718716">
    <w:abstractNumId w:val="1"/>
  </w:num>
  <w:num w:numId="2" w16cid:durableId="124002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86"/>
    <w:rsid w:val="00102FA8"/>
    <w:rsid w:val="001A63AB"/>
    <w:rsid w:val="001F7B63"/>
    <w:rsid w:val="00200E07"/>
    <w:rsid w:val="002579C6"/>
    <w:rsid w:val="003E12B6"/>
    <w:rsid w:val="004E1E16"/>
    <w:rsid w:val="005A00D4"/>
    <w:rsid w:val="006E38A1"/>
    <w:rsid w:val="00711155"/>
    <w:rsid w:val="00773BFF"/>
    <w:rsid w:val="008E5822"/>
    <w:rsid w:val="00A306E6"/>
    <w:rsid w:val="00B617E9"/>
    <w:rsid w:val="00C03886"/>
    <w:rsid w:val="00C17DC9"/>
    <w:rsid w:val="00C50B7D"/>
    <w:rsid w:val="00C9658E"/>
    <w:rsid w:val="00D54BA3"/>
    <w:rsid w:val="00D83E51"/>
    <w:rsid w:val="00DA0B4F"/>
    <w:rsid w:val="00EB3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0BE99"/>
  <w15:docId w15:val="{4F4231CF-7C72-4342-A742-D7954501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886"/>
    <w:rPr>
      <w:rFonts w:ascii="Tahoma" w:hAnsi="Tahoma" w:cs="Tahoma"/>
      <w:sz w:val="16"/>
      <w:szCs w:val="16"/>
    </w:rPr>
  </w:style>
  <w:style w:type="paragraph" w:styleId="Header">
    <w:name w:val="header"/>
    <w:basedOn w:val="Normal"/>
    <w:link w:val="HeaderChar"/>
    <w:uiPriority w:val="99"/>
    <w:unhideWhenUsed/>
    <w:rsid w:val="00C03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886"/>
  </w:style>
  <w:style w:type="paragraph" w:styleId="Footer">
    <w:name w:val="footer"/>
    <w:basedOn w:val="Normal"/>
    <w:link w:val="FooterChar"/>
    <w:uiPriority w:val="99"/>
    <w:unhideWhenUsed/>
    <w:rsid w:val="00C03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886"/>
  </w:style>
  <w:style w:type="character" w:styleId="PlaceholderText">
    <w:name w:val="Placeholder Text"/>
    <w:basedOn w:val="DefaultParagraphFont"/>
    <w:uiPriority w:val="99"/>
    <w:semiHidden/>
    <w:rsid w:val="006E38A1"/>
    <w:rPr>
      <w:color w:val="808080"/>
    </w:rPr>
  </w:style>
  <w:style w:type="paragraph" w:styleId="ListParagraph">
    <w:name w:val="List Paragraph"/>
    <w:basedOn w:val="Normal"/>
    <w:uiPriority w:val="34"/>
    <w:qFormat/>
    <w:rsid w:val="001A6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34677">
      <w:bodyDiv w:val="1"/>
      <w:marLeft w:val="0"/>
      <w:marRight w:val="0"/>
      <w:marTop w:val="0"/>
      <w:marBottom w:val="0"/>
      <w:divBdr>
        <w:top w:val="none" w:sz="0" w:space="0" w:color="auto"/>
        <w:left w:val="none" w:sz="0" w:space="0" w:color="auto"/>
        <w:bottom w:val="none" w:sz="0" w:space="0" w:color="auto"/>
        <w:right w:val="none" w:sz="0" w:space="0" w:color="auto"/>
      </w:divBdr>
    </w:div>
    <w:div w:id="128492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E545-2234-418B-918C-90D5881E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Rachael (Beckington Family Practice)</dc:creator>
  <cp:lastModifiedBy>Cox Darren</cp:lastModifiedBy>
  <cp:revision>4</cp:revision>
  <cp:lastPrinted>2017-02-10T11:32:00Z</cp:lastPrinted>
  <dcterms:created xsi:type="dcterms:W3CDTF">2024-09-26T14:13:00Z</dcterms:created>
  <dcterms:modified xsi:type="dcterms:W3CDTF">2024-09-28T14:02:00Z</dcterms:modified>
</cp:coreProperties>
</file>